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2012 29 vom 22. Oktober 2012</w:t>
      </w:r>
    </w:p>
    <w:p>
      <w:r>
        <w:t>GR Gerichte, 2012-10-22, DE</w:t>
      </w:r>
    </w:p>
    <w:p>
      <w:r>
        <w:rPr>
          <w:b/>
        </w:rPr>
        <w:t xml:space="preserve">Quelle: </w:t>
      </w:r>
      <w:r>
        <w:t>https://mcp.opencaselaw.ch/entscheid/gr_gerichte_ZK2 2012 29</w:t>
      </w:r>
    </w:p>
    <w:p>
      <w:r>
        <w:t>FR: GR_GERICHTE ZK2 2012 29 du 22 octobre 2012</w:t>
      </w:r>
    </w:p>
    <w:p>
      <w:r>
        <w:t>IT: GR_GERICHTE ZK2 2012 29 del 22 ottobre 2012</w:t>
      </w:r>
    </w:p>
    <w:p>
      <w:pPr>
        <w:pStyle w:val="Heading2"/>
      </w:pPr>
      <w:r>
        <w:t>Regeste</w:t>
      </w:r>
    </w:p>
    <w:p>
      <w:r>
        <w:t>Rechtsschutz in klaren Fällen nach Art. 257 ZPO/Ausweisungsgesuch | OR 253-273c Miete</w:t>
      </w:r>
    </w:p>
    <w:p>
      <w:pPr>
        <w:pStyle w:val="Heading2"/>
      </w:pPr>
      <w:r>
        <w:t>Erwägungen</w:t>
      </w:r>
    </w:p>
    <w:p>
      <w:r>
        <w:rPr>
          <w:b/>
        </w:rPr>
        <w:t>E. 2</w:t>
      </w:r>
    </w:p>
    <w:p>
      <w:r>
        <w:t>Der Gesuchsteller ist bei Säumnis der Gesuchsgegnerin berechtigt, die Wohnung zu räumen oder durch Dritte räumen zu lassen unter Kostenfolge zulasten der Gesuchsgegnerin. Für die Wohnungsräumung kann Polizeigewalt in Anspruch genom- men werden.</w:t>
      </w:r>
    </w:p>
    <w:p>
      <w:r>
        <w:rPr>
          <w:b/>
        </w:rPr>
        <w:t>E. 3</w:t>
      </w:r>
    </w:p>
    <w:p>
      <w:r>
        <w:t>Diese Anweisung an die Gesuchsgegnerin ergeht unter ausdrücklicher Androhung der Straffolge nach Art. 292 StGB, wonach mit Busse be- straft wird, wer der von einer zuständigen Behörde oder einem zustän- digen Beamten unter Hinweis auf die Strafdrohung dieses Artikels an ihn erlassenen Verfügung nicht Folge leistet.</w:t>
      </w:r>
    </w:p>
    <w:p>
      <w:r>
        <w:t>Seite 3 — 10</w:t>
      </w:r>
    </w:p>
    <w:p>
      <w:r>
        <w:rPr>
          <w:b/>
        </w:rPr>
        <w:t>E. 4</w:t>
      </w:r>
    </w:p>
    <w:p>
      <w:r>
        <w:t>Die Gerichtskosten von CHF 750.-- gehen zu Lasten der Gesuchsgeg- nerin.</w:t>
      </w:r>
    </w:p>
    <w:p>
      <w:r>
        <w:rPr>
          <w:b/>
        </w:rPr>
        <w:t>E. 5</w:t>
      </w:r>
    </w:p>
    <w:p>
      <w:r>
        <w:t>Die Gesuchsgegnerin wird verpflichtet, den Gesuchsteller mit pauschal CHF 1‘500.--, zuzüglich MwSt., ausseramtlich zu entschädigen.</w:t>
      </w:r>
    </w:p>
    <w:p>
      <w:r>
        <w:rPr>
          <w:b/>
        </w:rPr>
        <w:t>E. 6</w:t>
      </w:r>
    </w:p>
    <w:p>
      <w:r>
        <w:t>(Rechtsmittelbelehrung).</w:t>
      </w:r>
    </w:p>
    <w:p>
      <w:r>
        <w:rPr>
          <w:b/>
        </w:rPr>
        <w:t>E. 7</w:t>
      </w:r>
    </w:p>
    <w:p>
      <w:r>
        <w:t>Zusammenfassend kann festgehalten werden, dass innert der 30-tägigen Zahlungsfrist keine rechtsgenügliche Verrechnungserklärung seitens von X. erfolg- te, weshalb von einem Zahlungsrückstand der Berufungsklägerin ausgegangen werden muss, welcher die am 29. Dezember 2011 ausgesprochene Kündigung rechtfertigte. Auch die übrigen Einwände der Berufungsklägerin vermögen an die- sem Ergebnis nichts zu ändern. Demzufolge ist die Schlussfolgerung der Vorin- stanz, wonach die Kündigung unter den konkreten Umständen nicht als rechts- missbräuchlich zu qualifizieren sei, nicht zu beanstanden. Die Berufung ist somit abzuweisen.</w:t>
      </w:r>
    </w:p>
    <w:p>
      <w:r>
        <w:rPr>
          <w:b/>
        </w:rPr>
        <w:t>E. 8</w:t>
      </w:r>
    </w:p>
    <w:p>
      <w:r>
        <w:t>In ihrer Eingabe stellte X. zusätzlich einen Antrag auf unentgeltliche Rechtspflege und Einsetzung eines bündnerischen Rechtsanwalts als Rechtsver- treter. Dieses Gesuch wurde in einem separaten Verfahren (ERZ 12 357) behan- delt.</w:t>
      </w:r>
    </w:p>
    <w:p>
      <w:r>
        <w:rPr>
          <w:b/>
        </w:rPr>
        <w:t>E. 9</w:t>
      </w:r>
    </w:p>
    <w:p>
      <w:r>
        <w:t>Der Berufungsbeklagte stellt mit Eingabe vom 3. August 2012 den Antrag, es sei X. in Anlehnung von Art. 128 Abs. 3 ZPO wegen mutwilliger Prozessführung mit einer Ordnungsbusse zu ahnden. Zwar ist die vorliegende Berufung - wie vor- stehend dargelegt wurde - als aussichtslos zu bezeichnen. Dennoch fehlt es an einer hinreichenden Grundlage für die Aussprechung einer Ordnungsbusse, zumal mit dieser Eingabe die Grenze zur Mutwilligkeit nicht überschritten wurde. Ob dies in anderen Verfahren - wie der Berufungsbeklagte geltend macht - mehrfach ge- schehen ist, lässt sich aufgrund der vorliegenden Akten nicht beurteilen.</w:t>
      </w:r>
    </w:p>
    <w:p>
      <w:r>
        <w:rPr>
          <w:b/>
        </w:rPr>
        <w:t>E. 10</w:t>
      </w:r>
    </w:p>
    <w:p>
      <w:r>
        <w:t>Bei diesem Ausgang gehen die Kosten des Berufungsverfahrens von Fr. 2‘000.-- gemäss Art. 106 Abs. 1 in Verbindung mit Art. 95 ZPO zu Lasten der Berufungsklägerin, welche überdies den anwaltlich vertretenen Berufungsbeklag- ten ausseramtlich mit Fr. 900.-- einschliesslich Mehrwertsteuer zu entschädigen hat.</w:t>
      </w:r>
    </w:p>
    <w:p>
      <w:r>
        <w:t>Seite 10 — 10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